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上海海洋大学文化育人实施计划</w:t>
      </w:r>
    </w:p>
    <w:p>
      <w:pPr>
        <w:adjustRightInd w:val="0"/>
        <w:snapToGrid w:val="0"/>
        <w:spacing w:line="360" w:lineRule="auto"/>
        <w:rPr>
          <w:rFonts w:ascii="仿宋" w:hAnsi="仿宋" w:eastAsia="仿宋" w:cs="仿宋"/>
          <w:sz w:val="32"/>
          <w:szCs w:val="32"/>
        </w:rPr>
      </w:pPr>
    </w:p>
    <w:p>
      <w:pPr>
        <w:pStyle w:val="10"/>
        <w:numPr>
          <w:ilvl w:val="0"/>
          <w:numId w:val="1"/>
        </w:numPr>
        <w:adjustRightInd w:val="0"/>
        <w:snapToGrid w:val="0"/>
        <w:spacing w:line="360" w:lineRule="auto"/>
        <w:ind w:left="1272" w:firstLineChars="0"/>
        <w:rPr>
          <w:rFonts w:ascii="仿宋" w:hAnsi="仿宋" w:eastAsia="仿宋" w:cs="仿宋"/>
          <w:sz w:val="32"/>
          <w:szCs w:val="32"/>
        </w:rPr>
      </w:pPr>
      <w:r>
        <w:rPr>
          <w:rFonts w:hint="eastAsia" w:ascii="仿宋" w:hAnsi="仿宋" w:eastAsia="仿宋" w:cs="仿宋"/>
          <w:sz w:val="32"/>
          <w:szCs w:val="32"/>
        </w:rPr>
        <w:t>指导思想</w:t>
      </w:r>
    </w:p>
    <w:p>
      <w:pPr>
        <w:pBdr>
          <w:bottom w:val="single" w:color="FFFFFF" w:sz="4" w:space="31"/>
        </w:pBdr>
        <w:adjustRightInd w:val="0"/>
        <w:snapToGrid w:val="0"/>
        <w:spacing w:line="360" w:lineRule="auto"/>
        <w:ind w:firstLine="820" w:firstLineChars="250"/>
        <w:rPr>
          <w:rFonts w:ascii="仿宋" w:hAnsi="仿宋" w:eastAsia="仿宋" w:cs="仿宋"/>
          <w:spacing w:val="4"/>
          <w:sz w:val="32"/>
          <w:szCs w:val="32"/>
        </w:rPr>
      </w:pPr>
      <w:r>
        <w:rPr>
          <w:rFonts w:hint="eastAsia" w:ascii="仿宋" w:hAnsi="仿宋" w:eastAsia="仿宋" w:cs="仿宋"/>
          <w:spacing w:val="4"/>
          <w:sz w:val="32"/>
          <w:szCs w:val="32"/>
        </w:rPr>
        <w:t>为全面贯彻落实习近平新时代中国特色社会主义思想，进一步推动全国高校思想政治工作会议精神落地生根，紧紧围绕立德树人根本任务，充分发挥中国特色社会主义教育的育人优势，扎实推进学校“三全育人”改革实施方案，</w:t>
      </w:r>
      <w:bookmarkStart w:id="0" w:name="_GoBack"/>
      <w:bookmarkEnd w:id="0"/>
      <w:r>
        <w:rPr>
          <w:rFonts w:ascii="仿宋_gb2312" w:hAnsi="仿宋_gb2312" w:eastAsia="仿宋_gb2312" w:cs="仿宋_gb2312"/>
          <w:color w:val="333333"/>
          <w:sz w:val="31"/>
          <w:szCs w:val="31"/>
        </w:rPr>
        <w:t>以中华优秀传统文化和革命文化、社会主义先进文化为涵养，以大力弘扬</w:t>
      </w:r>
      <w:r>
        <w:rPr>
          <w:rFonts w:hint="eastAsia" w:ascii="仿宋_gb2312" w:hAnsi="仿宋_gb2312" w:eastAsia="仿宋_gb2312" w:cs="仿宋_gb2312"/>
          <w:color w:val="333333"/>
          <w:sz w:val="31"/>
          <w:szCs w:val="31"/>
        </w:rPr>
        <w:t>“勤朴忠实”的海大精神为重要载体，</w:t>
      </w:r>
      <w:r>
        <w:rPr>
          <w:rFonts w:ascii="仿宋_gb2312" w:hAnsi="仿宋_gb2312" w:eastAsia="仿宋_gb2312" w:cs="仿宋_gb2312"/>
          <w:color w:val="333333"/>
          <w:sz w:val="31"/>
          <w:szCs w:val="31"/>
        </w:rPr>
        <w:t>塑造体现时代特征和学校特色的</w:t>
      </w:r>
      <w:r>
        <w:rPr>
          <w:rFonts w:hint="eastAsia" w:ascii="仿宋_gb2312" w:hAnsi="仿宋_gb2312" w:eastAsia="仿宋_gb2312" w:cs="仿宋_gb2312"/>
          <w:color w:val="333333"/>
          <w:sz w:val="31"/>
          <w:szCs w:val="31"/>
        </w:rPr>
        <w:t>海</w:t>
      </w:r>
      <w:r>
        <w:rPr>
          <w:rFonts w:ascii="仿宋_gb2312" w:hAnsi="仿宋_gb2312" w:eastAsia="仿宋_gb2312" w:cs="仿宋_gb2312"/>
          <w:color w:val="333333"/>
          <w:sz w:val="31"/>
          <w:szCs w:val="31"/>
        </w:rPr>
        <w:t>大文化，充分发挥大学文化的导向规范、审美陶冶、传播辐射等功能，为培养德智体美全面发展的社会主义建设者和接班人提供强大的精神动力</w:t>
      </w:r>
      <w:r>
        <w:rPr>
          <w:rFonts w:hint="eastAsia" w:ascii="仿宋" w:hAnsi="仿宋" w:eastAsia="仿宋" w:cs="仿宋"/>
          <w:spacing w:val="4"/>
          <w:sz w:val="32"/>
          <w:szCs w:val="32"/>
        </w:rPr>
        <w:t>。</w:t>
      </w:r>
    </w:p>
    <w:p>
      <w:pPr>
        <w:pStyle w:val="10"/>
        <w:numPr>
          <w:ilvl w:val="0"/>
          <w:numId w:val="1"/>
        </w:numPr>
        <w:adjustRightInd w:val="0"/>
        <w:snapToGrid w:val="0"/>
        <w:spacing w:line="360" w:lineRule="auto"/>
        <w:ind w:left="1272" w:firstLineChars="0"/>
        <w:rPr>
          <w:rFonts w:ascii="仿宋" w:hAnsi="仿宋" w:eastAsia="仿宋" w:cs="仿宋"/>
          <w:kern w:val="0"/>
          <w:sz w:val="32"/>
          <w:szCs w:val="32"/>
        </w:rPr>
      </w:pPr>
      <w:r>
        <w:rPr>
          <w:rFonts w:hint="eastAsia" w:ascii="仿宋" w:hAnsi="仿宋" w:eastAsia="仿宋" w:cs="仿宋"/>
          <w:sz w:val="32"/>
          <w:szCs w:val="32"/>
        </w:rPr>
        <w:t>具体计划</w:t>
      </w:r>
    </w:p>
    <w:p>
      <w:pPr>
        <w:widowControl/>
        <w:numPr>
          <w:ilvl w:val="0"/>
          <w:numId w:val="2"/>
        </w:numPr>
        <w:pBdr>
          <w:bottom w:val="single" w:color="FFFFFF" w:sz="4" w:space="31"/>
        </w:pBdr>
        <w:adjustRightInd w:val="0"/>
        <w:snapToGrid w:val="0"/>
        <w:spacing w:before="156" w:after="156" w:line="360" w:lineRule="auto"/>
        <w:rPr>
          <w:rFonts w:ascii="仿宋" w:hAnsi="仿宋" w:eastAsia="仿宋" w:cs="仿宋"/>
          <w:kern w:val="0"/>
          <w:sz w:val="32"/>
          <w:szCs w:val="32"/>
        </w:rPr>
      </w:pPr>
      <w:r>
        <w:rPr>
          <w:rFonts w:hint="eastAsia" w:ascii="仿宋" w:hAnsi="仿宋" w:eastAsia="仿宋" w:cs="仿宋"/>
          <w:b/>
          <w:bCs/>
          <w:kern w:val="0"/>
          <w:sz w:val="32"/>
          <w:szCs w:val="32"/>
        </w:rPr>
        <w:t>实施文博育人</w:t>
      </w:r>
    </w:p>
    <w:p>
      <w:pPr>
        <w:pBdr>
          <w:bottom w:val="single" w:color="FFFFFF" w:sz="4" w:space="31"/>
        </w:pBdr>
        <w:adjustRightInd w:val="0"/>
        <w:snapToGrid w:val="0"/>
        <w:spacing w:line="360" w:lineRule="auto"/>
        <w:ind w:firstLine="800" w:firstLineChars="250"/>
        <w:rPr>
          <w:rFonts w:ascii="仿宋" w:hAnsi="仿宋" w:eastAsia="仿宋" w:cs="仿宋"/>
          <w:kern w:val="0"/>
          <w:sz w:val="32"/>
          <w:szCs w:val="32"/>
        </w:rPr>
      </w:pPr>
      <w:r>
        <w:rPr>
          <w:rFonts w:hint="eastAsia" w:ascii="仿宋" w:hAnsi="仿宋" w:eastAsia="仿宋" w:cs="仿宋"/>
          <w:kern w:val="0"/>
          <w:sz w:val="32"/>
          <w:szCs w:val="32"/>
        </w:rPr>
        <w:t>一是用好上海红色资源和高校红色教育资源，深入开展建党精神教育、革命</w:t>
      </w:r>
      <w:r>
        <w:rPr>
          <w:rFonts w:hint="eastAsia" w:ascii="仿宋_gb2312" w:hAnsi="仿宋_gb2312" w:eastAsia="仿宋_gb2312" w:cs="仿宋_gb2312"/>
          <w:color w:val="333333"/>
          <w:sz w:val="31"/>
          <w:szCs w:val="31"/>
        </w:rPr>
        <w:t>传统</w:t>
      </w:r>
      <w:r>
        <w:rPr>
          <w:rFonts w:hint="eastAsia" w:ascii="仿宋" w:hAnsi="仿宋" w:eastAsia="仿宋" w:cs="仿宋"/>
          <w:kern w:val="0"/>
          <w:sz w:val="32"/>
          <w:szCs w:val="32"/>
        </w:rPr>
        <w:t>教育和爱国主义教育；二是中华优秀传统文化教育，实施“中华经典诵读工程”“中国传统节日振兴工程”，做精做强“高雅艺术进校园”等品牌项目；三是校园文化建设，挖掘校史、校风、校训、校歌、校园建筑和环境的育人作用，</w:t>
      </w:r>
      <w:r>
        <w:rPr>
          <w:rFonts w:hint="eastAsia" w:ascii="仿宋" w:hAnsi="仿宋" w:eastAsia="仿宋"/>
          <w:sz w:val="32"/>
          <w:szCs w:val="32"/>
        </w:rPr>
        <w:t>开展“品读海大”主题教育，强化校史校训育人功能</w:t>
      </w:r>
      <w:r>
        <w:rPr>
          <w:rFonts w:hint="eastAsia" w:ascii="仿宋" w:hAnsi="仿宋" w:eastAsia="仿宋" w:cs="仿宋"/>
          <w:kern w:val="0"/>
          <w:sz w:val="32"/>
          <w:szCs w:val="32"/>
        </w:rPr>
        <w:t>，开展“上海市学生新年音乐会”等特色活动</w:t>
      </w:r>
      <w:r>
        <w:rPr>
          <w:rFonts w:hint="eastAsia" w:ascii="仿宋" w:hAnsi="仿宋" w:eastAsia="仿宋" w:cs="仿宋"/>
          <w:kern w:val="0"/>
          <w:sz w:val="32"/>
          <w:szCs w:val="32"/>
          <w:lang w:eastAsia="zh-CN"/>
        </w:rPr>
        <w:t>。</w:t>
      </w:r>
    </w:p>
    <w:p>
      <w:pPr>
        <w:widowControl/>
        <w:numPr>
          <w:ilvl w:val="0"/>
          <w:numId w:val="2"/>
        </w:numPr>
        <w:pBdr>
          <w:bottom w:val="single" w:color="FFFFFF" w:sz="4" w:space="31"/>
        </w:pBdr>
        <w:adjustRightInd w:val="0"/>
        <w:snapToGrid w:val="0"/>
        <w:spacing w:before="156" w:after="156" w:line="360" w:lineRule="auto"/>
        <w:rPr>
          <w:rFonts w:ascii="仿宋" w:hAnsi="仿宋" w:eastAsia="仿宋" w:cs="仿宋"/>
          <w:kern w:val="0"/>
          <w:sz w:val="32"/>
          <w:szCs w:val="32"/>
        </w:rPr>
      </w:pPr>
      <w:r>
        <w:rPr>
          <w:rFonts w:hint="eastAsia" w:ascii="仿宋" w:hAnsi="仿宋" w:eastAsia="仿宋" w:cs="仿宋"/>
          <w:b/>
          <w:bCs/>
          <w:kern w:val="0"/>
          <w:sz w:val="32"/>
          <w:szCs w:val="32"/>
        </w:rPr>
        <w:t>推动社会主义核心价值观教育落小落细落实</w:t>
      </w:r>
    </w:p>
    <w:p>
      <w:pPr>
        <w:pBdr>
          <w:bottom w:val="single" w:color="FFFFFF" w:sz="4" w:space="31"/>
        </w:pBdr>
        <w:adjustRightInd w:val="0"/>
        <w:snapToGrid w:val="0"/>
        <w:spacing w:line="360" w:lineRule="auto"/>
        <w:ind w:firstLine="800" w:firstLineChars="250"/>
        <w:rPr>
          <w:rFonts w:ascii="仿宋" w:hAnsi="仿宋" w:eastAsia="仿宋" w:cs="仿宋"/>
          <w:kern w:val="0"/>
          <w:sz w:val="32"/>
          <w:szCs w:val="32"/>
        </w:rPr>
      </w:pPr>
      <w:r>
        <w:rPr>
          <w:rFonts w:hint="eastAsia" w:ascii="仿宋" w:hAnsi="仿宋" w:eastAsia="仿宋" w:cs="仿宋"/>
          <w:kern w:val="0"/>
          <w:sz w:val="32"/>
          <w:szCs w:val="32"/>
        </w:rPr>
        <w:t>与文化活动结合，与实践活动结合，开展好“我的中国梦”主题教育，开展“大学生公益广告大赛”等活动。</w:t>
      </w:r>
      <w:r>
        <w:rPr>
          <w:rFonts w:hint="eastAsia" w:ascii="仿宋" w:hAnsi="仿宋" w:eastAsia="仿宋"/>
          <w:sz w:val="32"/>
          <w:szCs w:val="32"/>
        </w:rPr>
        <w:t>围绕“依法治校示范校”创建，重点开展普法教育主题活动和各类法治教育学习宣传，弘扬法治精神、培育法治文化。结合校庆月主题活动，做好上海继续开展“学院月”主题教育活动暨升旗仪式，增强师生爱国爱校荣校意识。开展五四精神、毕业季、迎新季、奖学金颁奖四大主题教育，培养学生爱党爱国爱社会主义意识和爱岗敬业、感恩奉献、奋斗拼搏精神。</w:t>
      </w:r>
    </w:p>
    <w:p>
      <w:pPr>
        <w:widowControl/>
        <w:numPr>
          <w:ilvl w:val="0"/>
          <w:numId w:val="2"/>
        </w:numPr>
        <w:pBdr>
          <w:bottom w:val="single" w:color="FFFFFF" w:sz="4" w:space="31"/>
        </w:pBdr>
        <w:adjustRightInd w:val="0"/>
        <w:snapToGrid w:val="0"/>
        <w:spacing w:before="156" w:after="156" w:line="360" w:lineRule="auto"/>
        <w:rPr>
          <w:rFonts w:ascii="仿宋" w:hAnsi="仿宋" w:eastAsia="仿宋" w:cs="仿宋"/>
          <w:b/>
          <w:bCs/>
          <w:kern w:val="0"/>
          <w:sz w:val="32"/>
          <w:szCs w:val="32"/>
        </w:rPr>
      </w:pPr>
      <w:r>
        <w:rPr>
          <w:rFonts w:hint="eastAsia" w:ascii="仿宋" w:hAnsi="仿宋" w:eastAsia="仿宋" w:cs="仿宋"/>
          <w:b/>
          <w:bCs/>
          <w:kern w:val="0"/>
          <w:sz w:val="32"/>
          <w:szCs w:val="32"/>
        </w:rPr>
        <w:t>落实“高雅艺术进校园”品牌项目</w:t>
      </w:r>
    </w:p>
    <w:p>
      <w:pPr>
        <w:pBdr>
          <w:bottom w:val="single" w:color="FFFFFF" w:sz="4" w:space="31"/>
        </w:pBdr>
        <w:adjustRightInd w:val="0"/>
        <w:snapToGrid w:val="0"/>
        <w:spacing w:line="360" w:lineRule="auto"/>
        <w:ind w:firstLine="820" w:firstLineChars="250"/>
        <w:rPr>
          <w:rFonts w:hint="eastAsia" w:ascii="仿宋" w:hAnsi="仿宋" w:eastAsia="仿宋" w:cs="仿宋"/>
          <w:b w:val="0"/>
          <w:bCs w:val="0"/>
          <w:spacing w:val="4"/>
          <w:kern w:val="2"/>
          <w:sz w:val="32"/>
          <w:szCs w:val="32"/>
        </w:rPr>
      </w:pPr>
      <w:r>
        <w:rPr>
          <w:rFonts w:hint="eastAsia" w:ascii="仿宋" w:hAnsi="仿宋" w:eastAsia="仿宋" w:cs="仿宋"/>
          <w:b w:val="0"/>
          <w:bCs w:val="0"/>
          <w:spacing w:val="4"/>
          <w:kern w:val="2"/>
          <w:sz w:val="32"/>
          <w:szCs w:val="32"/>
        </w:rPr>
        <w:t>持续开展“礼敬中华优秀传统文化”“戏曲进校园”“三大军乐团进校园”“非遗进校园”等文化建设活动，实施“中华经典诵读工程”“中国传统节日振兴工程”，做精做强“高雅艺术进校园</w:t>
      </w:r>
      <w:r>
        <w:rPr>
          <w:rFonts w:hint="eastAsia" w:ascii="仿宋" w:hAnsi="仿宋" w:eastAsia="仿宋" w:cs="仿宋"/>
          <w:b w:val="0"/>
          <w:bCs w:val="0"/>
          <w:spacing w:val="4"/>
          <w:kern w:val="2"/>
          <w:sz w:val="32"/>
          <w:szCs w:val="32"/>
          <w:lang w:eastAsia="zh-CN"/>
        </w:rPr>
        <w:t>”</w:t>
      </w:r>
      <w:r>
        <w:rPr>
          <w:rFonts w:hint="eastAsia" w:ascii="仿宋" w:hAnsi="仿宋" w:eastAsia="仿宋" w:cs="仿宋"/>
          <w:b w:val="0"/>
          <w:bCs w:val="0"/>
          <w:spacing w:val="4"/>
          <w:kern w:val="2"/>
          <w:sz w:val="32"/>
          <w:szCs w:val="32"/>
        </w:rPr>
        <w:t>。</w:t>
      </w:r>
    </w:p>
    <w:p>
      <w:pPr>
        <w:widowControl/>
        <w:numPr>
          <w:ilvl w:val="0"/>
          <w:numId w:val="2"/>
        </w:numPr>
        <w:pBdr>
          <w:bottom w:val="single" w:color="FFFFFF" w:sz="4" w:space="31"/>
        </w:pBdr>
        <w:adjustRightInd w:val="0"/>
        <w:snapToGrid w:val="0"/>
        <w:spacing w:before="156" w:after="156" w:line="360" w:lineRule="auto"/>
        <w:rPr>
          <w:rFonts w:ascii="仿宋" w:hAnsi="仿宋" w:eastAsia="仿宋" w:cs="仿宋"/>
          <w:b/>
          <w:bCs/>
          <w:kern w:val="0"/>
          <w:sz w:val="32"/>
          <w:szCs w:val="32"/>
        </w:rPr>
      </w:pPr>
      <w:r>
        <w:rPr>
          <w:rFonts w:hint="eastAsia" w:ascii="仿宋" w:hAnsi="仿宋" w:eastAsia="仿宋" w:cs="仿宋"/>
          <w:b/>
          <w:bCs/>
          <w:kern w:val="0"/>
          <w:sz w:val="32"/>
          <w:szCs w:val="32"/>
        </w:rPr>
        <w:t>创新高校校园文化品牌</w:t>
      </w:r>
    </w:p>
    <w:p>
      <w:pPr>
        <w:pBdr>
          <w:bottom w:val="single" w:color="FFFFFF" w:sz="4" w:space="31"/>
        </w:pBdr>
        <w:adjustRightInd w:val="0"/>
        <w:snapToGrid w:val="0"/>
        <w:spacing w:line="360" w:lineRule="auto"/>
        <w:ind w:firstLine="820" w:firstLineChars="250"/>
        <w:rPr>
          <w:rFonts w:hint="eastAsia" w:ascii="仿宋" w:hAnsi="仿宋" w:eastAsia="仿宋" w:cs="仿宋"/>
          <w:b w:val="0"/>
          <w:bCs w:val="0"/>
          <w:spacing w:val="4"/>
          <w:kern w:val="2"/>
          <w:sz w:val="32"/>
          <w:szCs w:val="32"/>
        </w:rPr>
      </w:pPr>
      <w:r>
        <w:rPr>
          <w:rFonts w:hint="eastAsia" w:ascii="仿宋" w:hAnsi="仿宋" w:eastAsia="仿宋" w:cs="仿宋"/>
          <w:b w:val="0"/>
          <w:bCs w:val="0"/>
          <w:spacing w:val="4"/>
          <w:kern w:val="2"/>
          <w:sz w:val="32"/>
          <w:szCs w:val="32"/>
        </w:rPr>
        <w:t>挖掘校史、校风、校训、校歌内在元素，创新高校校园文化品牌，推进“一校一品”校园文化建设，建设高校博物馆联盟等文博育人体系，引导高校建设特色校园文化。</w:t>
      </w:r>
    </w:p>
    <w:p>
      <w:pPr>
        <w:pBdr>
          <w:bottom w:val="single" w:color="FFFFFF" w:sz="4" w:space="31"/>
        </w:pBdr>
        <w:adjustRightInd w:val="0"/>
        <w:snapToGrid w:val="0"/>
        <w:spacing w:line="360" w:lineRule="auto"/>
        <w:ind w:firstLine="820" w:firstLineChars="250"/>
        <w:rPr>
          <w:rFonts w:ascii="仿宋" w:hAnsi="仿宋" w:eastAsia="仿宋" w:cs="仿宋"/>
          <w:b/>
          <w:bCs/>
          <w:kern w:val="0"/>
          <w:sz w:val="32"/>
          <w:szCs w:val="32"/>
        </w:rPr>
      </w:pPr>
      <w:r>
        <w:rPr>
          <w:rFonts w:hint="eastAsia" w:ascii="仿宋" w:hAnsi="仿宋" w:eastAsia="仿宋" w:cs="仿宋"/>
          <w:spacing w:val="4"/>
          <w:sz w:val="32"/>
          <w:szCs w:val="32"/>
        </w:rPr>
        <w:t>打造一批具有海洋特色的原创艺术作品和品牌。继续</w:t>
      </w:r>
      <w:r>
        <w:rPr>
          <w:rFonts w:hint="eastAsia" w:ascii="仿宋" w:hAnsi="仿宋" w:eastAsia="仿宋"/>
          <w:sz w:val="32"/>
          <w:szCs w:val="32"/>
        </w:rPr>
        <w:t>做好海洋日、蟹文化节、食品节、海川文化节等学术文化活动</w:t>
      </w:r>
    </w:p>
    <w:p>
      <w:pPr>
        <w:widowControl/>
        <w:numPr>
          <w:ilvl w:val="0"/>
          <w:numId w:val="2"/>
        </w:numPr>
        <w:pBdr>
          <w:bottom w:val="single" w:color="FFFFFF" w:sz="4" w:space="31"/>
        </w:pBdr>
        <w:adjustRightInd w:val="0"/>
        <w:snapToGrid w:val="0"/>
        <w:spacing w:before="156" w:after="156" w:line="360" w:lineRule="auto"/>
        <w:rPr>
          <w:rFonts w:ascii="仿宋" w:hAnsi="仿宋" w:eastAsia="仿宋" w:cs="仿宋"/>
          <w:b/>
          <w:bCs/>
          <w:kern w:val="0"/>
          <w:sz w:val="32"/>
          <w:szCs w:val="32"/>
        </w:rPr>
      </w:pPr>
      <w:r>
        <w:rPr>
          <w:rFonts w:hint="eastAsia" w:ascii="仿宋" w:hAnsi="仿宋" w:eastAsia="仿宋" w:cs="仿宋"/>
          <w:b/>
          <w:bCs/>
          <w:kern w:val="0"/>
          <w:sz w:val="32"/>
          <w:szCs w:val="32"/>
        </w:rPr>
        <w:t>建设一批高水平大学生文艺社团</w:t>
      </w:r>
    </w:p>
    <w:p>
      <w:pPr>
        <w:pBdr>
          <w:bottom w:val="single" w:color="FFFFFF" w:sz="4" w:space="31"/>
        </w:pBdr>
        <w:adjustRightInd w:val="0"/>
        <w:snapToGrid w:val="0"/>
        <w:spacing w:line="360" w:lineRule="auto"/>
        <w:ind w:firstLine="820" w:firstLineChars="250"/>
        <w:rPr>
          <w:rFonts w:hint="eastAsia" w:ascii="仿宋" w:hAnsi="仿宋" w:eastAsia="仿宋" w:cs="仿宋"/>
          <w:b w:val="0"/>
          <w:bCs w:val="0"/>
          <w:spacing w:val="4"/>
          <w:kern w:val="2"/>
          <w:sz w:val="32"/>
          <w:szCs w:val="32"/>
        </w:rPr>
      </w:pPr>
      <w:r>
        <w:rPr>
          <w:rFonts w:hint="eastAsia" w:ascii="仿宋" w:hAnsi="仿宋" w:eastAsia="仿宋" w:cs="仿宋"/>
          <w:b w:val="0"/>
          <w:bCs w:val="0"/>
          <w:spacing w:val="4"/>
          <w:kern w:val="2"/>
          <w:sz w:val="32"/>
          <w:szCs w:val="32"/>
        </w:rPr>
        <w:t>举办市级层面系列文化育人活动，开展“上海市学生新年音乐会”“夏季音乐节学生艺术实践”“国际艺术节校园行”“大学生原创音乐力量”等特色活动，建设一批高水平大学生文艺社团，培养一批高水平文艺人才。</w:t>
      </w:r>
    </w:p>
    <w:p>
      <w:pPr>
        <w:pStyle w:val="10"/>
        <w:numPr>
          <w:ilvl w:val="0"/>
          <w:numId w:val="1"/>
        </w:numPr>
        <w:adjustRightInd w:val="0"/>
        <w:snapToGrid w:val="0"/>
        <w:spacing w:line="360" w:lineRule="auto"/>
        <w:ind w:left="1272" w:firstLineChars="0"/>
        <w:rPr>
          <w:rFonts w:ascii="仿宋" w:hAnsi="仿宋" w:eastAsia="仿宋" w:cs="仿宋"/>
          <w:sz w:val="32"/>
          <w:szCs w:val="32"/>
        </w:rPr>
      </w:pPr>
      <w:r>
        <w:rPr>
          <w:rFonts w:hint="eastAsia" w:ascii="仿宋" w:hAnsi="仿宋" w:eastAsia="仿宋" w:cs="仿宋"/>
          <w:sz w:val="32"/>
          <w:szCs w:val="32"/>
        </w:rPr>
        <w:t>考评指标</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1909"/>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ascii="仿宋" w:hAnsi="仿宋" w:eastAsia="仿宋" w:cs="仿宋"/>
                <w:b/>
                <w:sz w:val="24"/>
                <w:szCs w:val="24"/>
              </w:rPr>
            </w:pPr>
            <w:r>
              <w:rPr>
                <w:rFonts w:hint="eastAsia" w:ascii="仿宋" w:hAnsi="仿宋" w:eastAsia="仿宋" w:cs="仿宋"/>
                <w:b/>
                <w:sz w:val="24"/>
                <w:szCs w:val="24"/>
              </w:rPr>
              <w:t>考评内容</w:t>
            </w:r>
          </w:p>
        </w:tc>
        <w:tc>
          <w:tcPr>
            <w:tcW w:w="1909" w:type="dxa"/>
            <w:vAlign w:val="center"/>
          </w:tcPr>
          <w:p>
            <w:pPr>
              <w:jc w:val="center"/>
              <w:rPr>
                <w:rFonts w:ascii="仿宋" w:hAnsi="仿宋" w:eastAsia="仿宋" w:cs="仿宋"/>
                <w:b/>
                <w:sz w:val="24"/>
                <w:szCs w:val="24"/>
              </w:rPr>
            </w:pPr>
            <w:r>
              <w:rPr>
                <w:rFonts w:ascii="仿宋" w:hAnsi="仿宋" w:eastAsia="仿宋" w:cs="仿宋"/>
                <w:b/>
                <w:sz w:val="24"/>
                <w:szCs w:val="24"/>
              </w:rPr>
              <w:t>考核数量</w:t>
            </w:r>
          </w:p>
        </w:tc>
        <w:tc>
          <w:tcPr>
            <w:tcW w:w="2165" w:type="dxa"/>
            <w:vAlign w:val="center"/>
          </w:tcPr>
          <w:p>
            <w:pPr>
              <w:jc w:val="center"/>
              <w:rPr>
                <w:rFonts w:ascii="仿宋" w:hAnsi="仿宋" w:eastAsia="仿宋" w:cs="仿宋"/>
                <w:b/>
                <w:sz w:val="24"/>
                <w:szCs w:val="24"/>
              </w:rPr>
            </w:pPr>
            <w:r>
              <w:rPr>
                <w:rFonts w:ascii="仿宋" w:hAnsi="仿宋" w:eastAsia="仿宋" w:cs="仿宋"/>
                <w:b/>
                <w:sz w:val="24"/>
                <w:szCs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ascii="仿宋" w:hAnsi="仿宋" w:eastAsia="仿宋" w:cs="仿宋"/>
                <w:sz w:val="24"/>
                <w:szCs w:val="24"/>
              </w:rPr>
            </w:pPr>
            <w:r>
              <w:rPr>
                <w:rFonts w:hint="eastAsia" w:ascii="仿宋" w:hAnsi="仿宋" w:eastAsia="仿宋" w:cs="仿宋"/>
                <w:kern w:val="0"/>
                <w:sz w:val="24"/>
                <w:szCs w:val="24"/>
              </w:rPr>
              <w:t>开展建党精神教育、革命</w:t>
            </w:r>
            <w:r>
              <w:rPr>
                <w:rFonts w:hint="eastAsia" w:ascii="仿宋_gb2312" w:hAnsi="仿宋_gb2312" w:eastAsia="仿宋_gb2312" w:cs="仿宋_gb2312"/>
                <w:color w:val="333333"/>
                <w:sz w:val="24"/>
                <w:szCs w:val="24"/>
              </w:rPr>
              <w:t>传统</w:t>
            </w:r>
            <w:r>
              <w:rPr>
                <w:rFonts w:hint="eastAsia" w:ascii="仿宋" w:hAnsi="仿宋" w:eastAsia="仿宋" w:cs="仿宋"/>
                <w:kern w:val="0"/>
                <w:sz w:val="24"/>
                <w:szCs w:val="24"/>
              </w:rPr>
              <w:t>教育和爱国主义教育</w:t>
            </w:r>
          </w:p>
        </w:tc>
        <w:tc>
          <w:tcPr>
            <w:tcW w:w="1909" w:type="dxa"/>
            <w:vAlign w:val="center"/>
          </w:tcPr>
          <w:p>
            <w:pPr>
              <w:rPr>
                <w:rFonts w:ascii="仿宋" w:hAnsi="仿宋" w:eastAsia="仿宋" w:cs="仿宋"/>
                <w:sz w:val="24"/>
                <w:szCs w:val="24"/>
              </w:rPr>
            </w:pPr>
            <w:r>
              <w:rPr>
                <w:rFonts w:hint="eastAsia" w:ascii="仿宋" w:hAnsi="仿宋" w:eastAsia="仿宋"/>
                <w:sz w:val="24"/>
                <w:szCs w:val="24"/>
              </w:rPr>
              <w:t>持续推进</w:t>
            </w:r>
          </w:p>
        </w:tc>
        <w:tc>
          <w:tcPr>
            <w:tcW w:w="2165" w:type="dxa"/>
            <w:vAlign w:val="center"/>
          </w:tcPr>
          <w:p>
            <w:pPr>
              <w:rPr>
                <w:rFonts w:ascii="仿宋" w:hAnsi="仿宋" w:eastAsia="仿宋" w:cs="仿宋"/>
                <w:sz w:val="24"/>
                <w:szCs w:val="24"/>
              </w:rPr>
            </w:pPr>
            <w:r>
              <w:rPr>
                <w:rFonts w:hint="eastAsia" w:ascii="仿宋" w:hAnsi="仿宋" w:eastAsia="仿宋" w:cs="仿宋"/>
                <w:sz w:val="24"/>
                <w:szCs w:val="24"/>
              </w:rPr>
              <w:t>宣传部、组织部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036" w:type="dxa"/>
            <w:vAlign w:val="center"/>
          </w:tcPr>
          <w:p>
            <w:pPr>
              <w:jc w:val="center"/>
              <w:rPr>
                <w:rFonts w:ascii="仿宋" w:hAnsi="仿宋" w:eastAsia="仿宋" w:cs="仿宋"/>
                <w:sz w:val="24"/>
                <w:szCs w:val="24"/>
              </w:rPr>
            </w:pPr>
            <w:r>
              <w:rPr>
                <w:rFonts w:hint="eastAsia" w:ascii="仿宋" w:hAnsi="仿宋" w:eastAsia="仿宋" w:cs="仿宋"/>
                <w:kern w:val="0"/>
                <w:sz w:val="24"/>
                <w:szCs w:val="24"/>
              </w:rPr>
              <w:t>中华优秀传统文化教育</w:t>
            </w:r>
          </w:p>
        </w:tc>
        <w:tc>
          <w:tcPr>
            <w:tcW w:w="1909" w:type="dxa"/>
            <w:vAlign w:val="center"/>
          </w:tcPr>
          <w:p>
            <w:pPr>
              <w:rPr>
                <w:rFonts w:ascii="仿宋" w:hAnsi="仿宋" w:eastAsia="仿宋" w:cs="仿宋"/>
                <w:sz w:val="24"/>
                <w:szCs w:val="24"/>
              </w:rPr>
            </w:pPr>
            <w:r>
              <w:rPr>
                <w:rFonts w:hint="eastAsia" w:ascii="仿宋" w:hAnsi="仿宋" w:eastAsia="仿宋"/>
                <w:sz w:val="24"/>
                <w:szCs w:val="24"/>
              </w:rPr>
              <w:t>持续推进</w:t>
            </w:r>
          </w:p>
        </w:tc>
        <w:tc>
          <w:tcPr>
            <w:tcW w:w="2165" w:type="dxa"/>
            <w:vAlign w:val="center"/>
          </w:tcPr>
          <w:p>
            <w:pPr>
              <w:rPr>
                <w:rFonts w:ascii="仿宋" w:hAnsi="仿宋" w:eastAsia="仿宋" w:cs="仿宋"/>
                <w:sz w:val="24"/>
                <w:szCs w:val="24"/>
              </w:rPr>
            </w:pPr>
            <w:r>
              <w:rPr>
                <w:rFonts w:ascii="仿宋" w:hAnsi="仿宋" w:eastAsia="仿宋" w:cs="仿宋"/>
                <w:sz w:val="24"/>
                <w:szCs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036" w:type="dxa"/>
            <w:vAlign w:val="center"/>
          </w:tcPr>
          <w:p>
            <w:pPr>
              <w:jc w:val="center"/>
              <w:rPr>
                <w:rFonts w:ascii="仿宋" w:hAnsi="仿宋" w:eastAsia="仿宋" w:cs="仿宋"/>
                <w:sz w:val="24"/>
                <w:szCs w:val="24"/>
              </w:rPr>
            </w:pPr>
            <w:r>
              <w:rPr>
                <w:rFonts w:hint="eastAsia" w:ascii="仿宋" w:hAnsi="仿宋" w:eastAsia="仿宋" w:cs="仿宋"/>
                <w:sz w:val="24"/>
                <w:szCs w:val="24"/>
              </w:rPr>
              <w:t>“品读海大”专题</w:t>
            </w:r>
          </w:p>
        </w:tc>
        <w:tc>
          <w:tcPr>
            <w:tcW w:w="1909" w:type="dxa"/>
            <w:vAlign w:val="center"/>
          </w:tcPr>
          <w:p>
            <w:pPr>
              <w:rPr>
                <w:rFonts w:ascii="仿宋" w:hAnsi="仿宋" w:eastAsia="仿宋" w:cs="仿宋"/>
                <w:sz w:val="24"/>
                <w:szCs w:val="24"/>
              </w:rPr>
            </w:pPr>
            <w:r>
              <w:rPr>
                <w:rFonts w:hint="eastAsia" w:ascii="仿宋" w:hAnsi="仿宋" w:eastAsia="仿宋" w:cs="仿宋"/>
                <w:sz w:val="24"/>
                <w:szCs w:val="24"/>
              </w:rPr>
              <w:t>每年宣传报道10篇以上</w:t>
            </w:r>
          </w:p>
        </w:tc>
        <w:tc>
          <w:tcPr>
            <w:tcW w:w="2165" w:type="dxa"/>
            <w:vAlign w:val="center"/>
          </w:tcPr>
          <w:p>
            <w:pPr>
              <w:rPr>
                <w:rFonts w:ascii="仿宋" w:hAnsi="仿宋" w:eastAsia="仿宋" w:cs="仿宋"/>
                <w:sz w:val="24"/>
                <w:szCs w:val="24"/>
              </w:rPr>
            </w:pPr>
            <w:r>
              <w:rPr>
                <w:rFonts w:hint="eastAsia" w:ascii="仿宋" w:hAnsi="仿宋" w:eastAsia="仿宋" w:cs="仿宋"/>
                <w:sz w:val="24"/>
                <w:szCs w:val="24"/>
              </w:rPr>
              <w:t>团委、校史馆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036" w:type="dxa"/>
            <w:vAlign w:val="center"/>
          </w:tcPr>
          <w:p>
            <w:pPr>
              <w:jc w:val="center"/>
              <w:rPr>
                <w:rFonts w:ascii="仿宋" w:hAnsi="仿宋" w:eastAsia="仿宋" w:cs="仿宋"/>
                <w:sz w:val="24"/>
                <w:szCs w:val="24"/>
              </w:rPr>
            </w:pPr>
            <w:r>
              <w:rPr>
                <w:rFonts w:hint="eastAsia" w:ascii="仿宋" w:hAnsi="仿宋" w:eastAsia="仿宋" w:cs="仿宋"/>
                <w:sz w:val="24"/>
                <w:szCs w:val="24"/>
              </w:rPr>
              <w:t>校史馆参观教育</w:t>
            </w:r>
          </w:p>
        </w:tc>
        <w:tc>
          <w:tcPr>
            <w:tcW w:w="1909" w:type="dxa"/>
            <w:vAlign w:val="center"/>
          </w:tcPr>
          <w:p>
            <w:pPr>
              <w:rPr>
                <w:rFonts w:ascii="仿宋" w:hAnsi="仿宋" w:eastAsia="仿宋" w:cs="仿宋"/>
                <w:sz w:val="24"/>
                <w:szCs w:val="24"/>
              </w:rPr>
            </w:pPr>
            <w:r>
              <w:rPr>
                <w:rFonts w:hint="eastAsia" w:ascii="仿宋" w:hAnsi="仿宋" w:eastAsia="仿宋" w:cs="仿宋"/>
                <w:sz w:val="24"/>
                <w:szCs w:val="24"/>
              </w:rPr>
              <w:t>年2000人次以上</w:t>
            </w:r>
          </w:p>
        </w:tc>
        <w:tc>
          <w:tcPr>
            <w:tcW w:w="2165" w:type="dxa"/>
            <w:vAlign w:val="center"/>
          </w:tcPr>
          <w:p>
            <w:pPr>
              <w:rPr>
                <w:rFonts w:ascii="仿宋" w:hAnsi="仿宋" w:eastAsia="仿宋" w:cs="仿宋"/>
                <w:sz w:val="24"/>
                <w:szCs w:val="24"/>
              </w:rPr>
            </w:pPr>
            <w:r>
              <w:rPr>
                <w:rFonts w:hint="eastAsia" w:ascii="仿宋" w:hAnsi="仿宋" w:eastAsia="仿宋" w:cs="仿宋"/>
                <w:sz w:val="24"/>
                <w:szCs w:val="24"/>
              </w:rPr>
              <w:t>校史馆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ascii="仿宋" w:hAnsi="仿宋" w:eastAsia="仿宋" w:cs="仿宋"/>
                <w:sz w:val="24"/>
                <w:szCs w:val="24"/>
              </w:rPr>
            </w:pPr>
            <w:r>
              <w:rPr>
                <w:rFonts w:hint="eastAsia" w:ascii="仿宋" w:hAnsi="仿宋" w:eastAsia="仿宋" w:cs="仿宋"/>
                <w:sz w:val="24"/>
                <w:szCs w:val="24"/>
              </w:rPr>
              <w:t>新年音乐会</w:t>
            </w:r>
          </w:p>
        </w:tc>
        <w:tc>
          <w:tcPr>
            <w:tcW w:w="1909" w:type="dxa"/>
            <w:vAlign w:val="center"/>
          </w:tcPr>
          <w:p>
            <w:pPr>
              <w:rPr>
                <w:rFonts w:ascii="仿宋" w:hAnsi="仿宋" w:eastAsia="仿宋" w:cs="仿宋"/>
                <w:sz w:val="24"/>
                <w:szCs w:val="24"/>
              </w:rPr>
            </w:pPr>
            <w:r>
              <w:rPr>
                <w:rFonts w:hint="eastAsia" w:ascii="仿宋" w:hAnsi="仿宋" w:eastAsia="仿宋" w:cs="仿宋"/>
                <w:sz w:val="24"/>
                <w:szCs w:val="24"/>
              </w:rPr>
              <w:t>每年1场</w:t>
            </w:r>
          </w:p>
        </w:tc>
        <w:tc>
          <w:tcPr>
            <w:tcW w:w="2165" w:type="dxa"/>
            <w:vAlign w:val="center"/>
          </w:tcPr>
          <w:p>
            <w:pPr>
              <w:rPr>
                <w:rFonts w:ascii="仿宋" w:hAnsi="仿宋" w:eastAsia="仿宋" w:cs="仿宋"/>
                <w:sz w:val="24"/>
                <w:szCs w:val="24"/>
              </w:rPr>
            </w:pPr>
            <w:r>
              <w:rPr>
                <w:rFonts w:hint="eastAsia" w:ascii="仿宋" w:hAnsi="仿宋" w:eastAsia="仿宋" w:cs="仿宋"/>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hint="eastAsia" w:ascii="仿宋" w:hAnsi="仿宋" w:eastAsia="仿宋"/>
                <w:sz w:val="24"/>
                <w:szCs w:val="24"/>
              </w:rPr>
            </w:pPr>
          </w:p>
          <w:p>
            <w:pPr>
              <w:jc w:val="center"/>
              <w:rPr>
                <w:rFonts w:ascii="仿宋" w:hAnsi="仿宋" w:eastAsia="仿宋" w:cs="仿宋"/>
                <w:sz w:val="24"/>
                <w:szCs w:val="24"/>
              </w:rPr>
            </w:pPr>
            <w:r>
              <w:rPr>
                <w:rFonts w:hint="eastAsia" w:ascii="仿宋" w:hAnsi="仿宋" w:eastAsia="仿宋"/>
                <w:sz w:val="24"/>
                <w:szCs w:val="24"/>
              </w:rPr>
              <w:t>特色体育运动育人</w:t>
            </w:r>
          </w:p>
        </w:tc>
        <w:tc>
          <w:tcPr>
            <w:tcW w:w="1909" w:type="dxa"/>
            <w:vAlign w:val="center"/>
          </w:tcPr>
          <w:p>
            <w:pPr>
              <w:rPr>
                <w:rFonts w:ascii="仿宋" w:hAnsi="仿宋" w:eastAsia="仿宋" w:cs="仿宋"/>
                <w:sz w:val="24"/>
                <w:szCs w:val="24"/>
              </w:rPr>
            </w:pPr>
            <w:r>
              <w:rPr>
                <w:rFonts w:ascii="仿宋" w:hAnsi="仿宋" w:eastAsia="仿宋" w:cs="仿宋"/>
                <w:sz w:val="24"/>
                <w:szCs w:val="24"/>
              </w:rPr>
              <w:t>每年至少</w:t>
            </w:r>
            <w:r>
              <w:rPr>
                <w:rFonts w:hint="eastAsia" w:ascii="仿宋" w:hAnsi="仿宋" w:eastAsia="仿宋" w:cs="仿宋"/>
                <w:sz w:val="24"/>
                <w:szCs w:val="24"/>
              </w:rPr>
              <w:t>1</w:t>
            </w:r>
            <w:r>
              <w:rPr>
                <w:rFonts w:ascii="仿宋" w:hAnsi="仿宋" w:eastAsia="仿宋" w:cs="仿宋"/>
                <w:sz w:val="24"/>
                <w:szCs w:val="24"/>
              </w:rPr>
              <w:t>项</w:t>
            </w:r>
          </w:p>
        </w:tc>
        <w:tc>
          <w:tcPr>
            <w:tcW w:w="2165" w:type="dxa"/>
            <w:vAlign w:val="center"/>
          </w:tcPr>
          <w:p>
            <w:pPr>
              <w:rPr>
                <w:rFonts w:ascii="仿宋" w:hAnsi="仿宋" w:eastAsia="仿宋" w:cs="仿宋"/>
                <w:sz w:val="24"/>
                <w:szCs w:val="24"/>
              </w:rPr>
            </w:pPr>
            <w:r>
              <w:rPr>
                <w:rFonts w:ascii="仿宋" w:hAnsi="仿宋" w:eastAsia="仿宋" w:cs="仿宋"/>
                <w:sz w:val="24"/>
                <w:szCs w:val="24"/>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ascii="仿宋" w:hAnsi="仿宋" w:eastAsia="仿宋"/>
                <w:sz w:val="24"/>
                <w:szCs w:val="24"/>
              </w:rPr>
            </w:pPr>
            <w:r>
              <w:rPr>
                <w:rFonts w:hint="eastAsia" w:ascii="仿宋" w:hAnsi="仿宋" w:eastAsia="仿宋" w:cs="仿宋"/>
                <w:kern w:val="0"/>
                <w:sz w:val="24"/>
                <w:szCs w:val="24"/>
              </w:rPr>
              <w:t>大学生公益广告大赛</w:t>
            </w:r>
          </w:p>
        </w:tc>
        <w:tc>
          <w:tcPr>
            <w:tcW w:w="1909" w:type="dxa"/>
            <w:vAlign w:val="center"/>
          </w:tcPr>
          <w:p>
            <w:pPr>
              <w:rPr>
                <w:rFonts w:ascii="仿宋" w:hAnsi="仿宋" w:eastAsia="仿宋"/>
                <w:sz w:val="24"/>
                <w:szCs w:val="24"/>
              </w:rPr>
            </w:pPr>
            <w:r>
              <w:rPr>
                <w:rFonts w:ascii="仿宋" w:hAnsi="仿宋" w:eastAsia="仿宋"/>
                <w:sz w:val="24"/>
                <w:szCs w:val="24"/>
              </w:rPr>
              <w:t>每年至少</w:t>
            </w:r>
            <w:r>
              <w:rPr>
                <w:rFonts w:hint="eastAsia" w:ascii="仿宋" w:hAnsi="仿宋" w:eastAsia="仿宋"/>
                <w:sz w:val="24"/>
                <w:szCs w:val="24"/>
              </w:rPr>
              <w:t>1次</w:t>
            </w:r>
          </w:p>
        </w:tc>
        <w:tc>
          <w:tcPr>
            <w:tcW w:w="2165" w:type="dxa"/>
            <w:vAlign w:val="center"/>
          </w:tcPr>
          <w:p>
            <w:pPr>
              <w:rPr>
                <w:rFonts w:ascii="仿宋" w:hAnsi="仿宋" w:eastAsia="仿宋"/>
                <w:sz w:val="24"/>
                <w:szCs w:val="24"/>
              </w:rPr>
            </w:pPr>
            <w:r>
              <w:rPr>
                <w:rFonts w:hint="eastAsia" w:ascii="仿宋" w:hAnsi="仿宋" w:eastAsia="仿宋"/>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ascii="仿宋" w:hAnsi="仿宋" w:eastAsia="仿宋"/>
                <w:sz w:val="24"/>
                <w:szCs w:val="24"/>
              </w:rPr>
            </w:pPr>
          </w:p>
        </w:tc>
        <w:tc>
          <w:tcPr>
            <w:tcW w:w="1909" w:type="dxa"/>
            <w:vAlign w:val="center"/>
          </w:tcPr>
          <w:p>
            <w:pPr>
              <w:rPr>
                <w:rFonts w:ascii="仿宋" w:hAnsi="仿宋" w:eastAsia="仿宋"/>
                <w:sz w:val="24"/>
                <w:szCs w:val="24"/>
              </w:rPr>
            </w:pPr>
            <w:r>
              <w:rPr>
                <w:rFonts w:ascii="仿宋" w:hAnsi="仿宋" w:eastAsia="仿宋"/>
                <w:sz w:val="24"/>
                <w:szCs w:val="24"/>
              </w:rPr>
              <w:t>每年</w:t>
            </w:r>
            <w:r>
              <w:rPr>
                <w:rFonts w:hint="eastAsia" w:ascii="仿宋" w:hAnsi="仿宋" w:eastAsia="仿宋"/>
                <w:sz w:val="24"/>
                <w:szCs w:val="24"/>
              </w:rPr>
              <w:t>1场</w:t>
            </w:r>
          </w:p>
        </w:tc>
        <w:tc>
          <w:tcPr>
            <w:tcW w:w="2165" w:type="dxa"/>
            <w:vAlign w:val="center"/>
          </w:tcPr>
          <w:p>
            <w:pPr>
              <w:rPr>
                <w:rFonts w:ascii="仿宋" w:hAnsi="仿宋" w:eastAsia="仿宋"/>
                <w:sz w:val="24"/>
                <w:szCs w:val="24"/>
              </w:rPr>
            </w:pPr>
            <w:r>
              <w:rPr>
                <w:rFonts w:ascii="仿宋" w:hAnsi="仿宋" w:eastAsia="仿宋"/>
                <w:sz w:val="24"/>
                <w:szCs w:val="24"/>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ascii="仿宋" w:hAnsi="仿宋" w:eastAsia="仿宋"/>
                <w:sz w:val="24"/>
                <w:szCs w:val="24"/>
              </w:rPr>
            </w:pPr>
            <w:r>
              <w:rPr>
                <w:rFonts w:hint="eastAsia" w:ascii="仿宋" w:hAnsi="仿宋" w:eastAsia="仿宋"/>
                <w:sz w:val="24"/>
                <w:szCs w:val="24"/>
              </w:rPr>
              <w:t>重点开展普法教育主题活动和各类法治教育学习宣传</w:t>
            </w:r>
          </w:p>
        </w:tc>
        <w:tc>
          <w:tcPr>
            <w:tcW w:w="1909" w:type="dxa"/>
            <w:vAlign w:val="center"/>
          </w:tcPr>
          <w:p>
            <w:pPr>
              <w:rPr>
                <w:rFonts w:ascii="仿宋" w:hAnsi="仿宋" w:eastAsia="仿宋"/>
                <w:sz w:val="24"/>
                <w:szCs w:val="24"/>
              </w:rPr>
            </w:pPr>
            <w:r>
              <w:rPr>
                <w:rFonts w:ascii="仿宋" w:hAnsi="仿宋" w:eastAsia="仿宋"/>
                <w:sz w:val="24"/>
                <w:szCs w:val="24"/>
              </w:rPr>
              <w:t>每年</w:t>
            </w:r>
            <w:r>
              <w:rPr>
                <w:rFonts w:hint="eastAsia" w:ascii="仿宋" w:hAnsi="仿宋" w:eastAsia="仿宋"/>
                <w:sz w:val="24"/>
                <w:szCs w:val="24"/>
              </w:rPr>
              <w:t>2场</w:t>
            </w:r>
          </w:p>
        </w:tc>
        <w:tc>
          <w:tcPr>
            <w:tcW w:w="2165" w:type="dxa"/>
            <w:vAlign w:val="center"/>
          </w:tcPr>
          <w:p>
            <w:pPr>
              <w:rPr>
                <w:rFonts w:ascii="仿宋" w:hAnsi="仿宋" w:eastAsia="仿宋"/>
                <w:sz w:val="24"/>
                <w:szCs w:val="24"/>
              </w:rPr>
            </w:pPr>
            <w:r>
              <w:rPr>
                <w:rFonts w:hint="eastAsia" w:ascii="仿宋" w:hAnsi="仿宋" w:eastAsia="仿宋"/>
                <w:sz w:val="24"/>
                <w:szCs w:val="24"/>
              </w:rPr>
              <w:t>法务办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ascii="仿宋" w:hAnsi="仿宋" w:eastAsia="仿宋"/>
                <w:sz w:val="24"/>
                <w:szCs w:val="24"/>
              </w:rPr>
            </w:pPr>
            <w:r>
              <w:rPr>
                <w:rFonts w:hint="eastAsia" w:ascii="仿宋" w:hAnsi="仿宋" w:eastAsia="仿宋"/>
                <w:sz w:val="24"/>
                <w:szCs w:val="24"/>
              </w:rPr>
              <w:t>“学院月”主题教育活动暨升旗仪式</w:t>
            </w:r>
          </w:p>
        </w:tc>
        <w:tc>
          <w:tcPr>
            <w:tcW w:w="1909" w:type="dxa"/>
            <w:vAlign w:val="center"/>
          </w:tcPr>
          <w:p>
            <w:pPr>
              <w:rPr>
                <w:rFonts w:ascii="仿宋" w:hAnsi="仿宋" w:eastAsia="仿宋"/>
                <w:sz w:val="24"/>
                <w:szCs w:val="24"/>
              </w:rPr>
            </w:pPr>
            <w:r>
              <w:rPr>
                <w:rFonts w:hint="eastAsia" w:ascii="仿宋" w:hAnsi="仿宋" w:eastAsia="仿宋"/>
                <w:sz w:val="24"/>
                <w:szCs w:val="24"/>
              </w:rPr>
              <w:t>每月1次</w:t>
            </w:r>
          </w:p>
        </w:tc>
        <w:tc>
          <w:tcPr>
            <w:tcW w:w="2165" w:type="dxa"/>
            <w:vAlign w:val="center"/>
          </w:tcPr>
          <w:p>
            <w:pPr>
              <w:rPr>
                <w:rFonts w:ascii="仿宋" w:hAnsi="仿宋" w:eastAsia="仿宋"/>
                <w:sz w:val="24"/>
                <w:szCs w:val="24"/>
              </w:rPr>
            </w:pPr>
            <w:r>
              <w:rPr>
                <w:rFonts w:hint="eastAsia" w:ascii="仿宋" w:hAnsi="仿宋" w:eastAsia="仿宋"/>
                <w:sz w:val="24"/>
                <w:szCs w:val="24"/>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vAlign w:val="center"/>
          </w:tcPr>
          <w:p>
            <w:pPr>
              <w:jc w:val="center"/>
              <w:rPr>
                <w:rFonts w:ascii="仿宋" w:hAnsi="仿宋" w:eastAsia="仿宋"/>
                <w:sz w:val="24"/>
                <w:szCs w:val="24"/>
              </w:rPr>
            </w:pPr>
          </w:p>
        </w:tc>
        <w:tc>
          <w:tcPr>
            <w:tcW w:w="1909" w:type="dxa"/>
            <w:vAlign w:val="center"/>
          </w:tcPr>
          <w:p>
            <w:pPr>
              <w:rPr>
                <w:rFonts w:ascii="仿宋" w:hAnsi="仿宋" w:eastAsia="仿宋"/>
                <w:sz w:val="24"/>
                <w:szCs w:val="24"/>
              </w:rPr>
            </w:pPr>
            <w:r>
              <w:rPr>
                <w:rFonts w:ascii="仿宋" w:hAnsi="仿宋" w:eastAsia="仿宋"/>
                <w:sz w:val="24"/>
                <w:szCs w:val="24"/>
              </w:rPr>
              <w:t>每年</w:t>
            </w:r>
            <w:r>
              <w:rPr>
                <w:rFonts w:hint="eastAsia" w:ascii="仿宋" w:hAnsi="仿宋" w:eastAsia="仿宋"/>
                <w:sz w:val="24"/>
                <w:szCs w:val="24"/>
              </w:rPr>
              <w:t>2场</w:t>
            </w:r>
          </w:p>
        </w:tc>
        <w:tc>
          <w:tcPr>
            <w:tcW w:w="2165" w:type="dxa"/>
            <w:vAlign w:val="center"/>
          </w:tcPr>
          <w:p>
            <w:pPr>
              <w:rPr>
                <w:rFonts w:ascii="仿宋" w:hAnsi="仿宋" w:eastAsia="仿宋"/>
                <w:sz w:val="24"/>
                <w:szCs w:val="24"/>
              </w:rPr>
            </w:pPr>
            <w:r>
              <w:rPr>
                <w:rFonts w:hint="eastAsia" w:ascii="仿宋" w:hAnsi="仿宋" w:eastAsia="仿宋"/>
                <w:sz w:val="24"/>
                <w:szCs w:val="24"/>
              </w:rPr>
              <w:t>国际交流处、国际文化交流学院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36" w:type="dxa"/>
            <w:vAlign w:val="center"/>
          </w:tcPr>
          <w:p>
            <w:pPr>
              <w:jc w:val="center"/>
              <w:rPr>
                <w:rFonts w:ascii="仿宋" w:hAnsi="仿宋" w:eastAsia="仿宋"/>
                <w:sz w:val="24"/>
                <w:szCs w:val="24"/>
              </w:rPr>
            </w:pPr>
            <w:r>
              <w:rPr>
                <w:rFonts w:hint="eastAsia" w:ascii="仿宋" w:hAnsi="仿宋" w:eastAsia="仿宋"/>
                <w:sz w:val="24"/>
                <w:szCs w:val="24"/>
              </w:rPr>
              <w:t>高雅艺术进校园</w:t>
            </w:r>
          </w:p>
        </w:tc>
        <w:tc>
          <w:tcPr>
            <w:tcW w:w="1909" w:type="dxa"/>
            <w:vAlign w:val="center"/>
          </w:tcPr>
          <w:p>
            <w:pPr>
              <w:rPr>
                <w:rFonts w:ascii="仿宋" w:hAnsi="仿宋" w:eastAsia="仿宋"/>
                <w:sz w:val="24"/>
                <w:szCs w:val="24"/>
              </w:rPr>
            </w:pPr>
            <w:r>
              <w:rPr>
                <w:rFonts w:ascii="仿宋" w:hAnsi="仿宋" w:eastAsia="仿宋"/>
                <w:sz w:val="24"/>
                <w:szCs w:val="24"/>
              </w:rPr>
              <w:t>每年</w:t>
            </w:r>
            <w:r>
              <w:rPr>
                <w:rFonts w:hint="eastAsia" w:ascii="仿宋" w:hAnsi="仿宋" w:eastAsia="仿宋"/>
                <w:sz w:val="24"/>
                <w:szCs w:val="24"/>
              </w:rPr>
              <w:t>2场</w:t>
            </w:r>
          </w:p>
        </w:tc>
        <w:tc>
          <w:tcPr>
            <w:tcW w:w="2165" w:type="dxa"/>
            <w:vAlign w:val="center"/>
          </w:tcPr>
          <w:p>
            <w:pPr>
              <w:rPr>
                <w:rFonts w:ascii="仿宋" w:hAnsi="仿宋" w:eastAsia="仿宋"/>
                <w:sz w:val="24"/>
                <w:szCs w:val="24"/>
              </w:rPr>
            </w:pPr>
            <w:r>
              <w:rPr>
                <w:rFonts w:ascii="仿宋" w:hAnsi="仿宋" w:eastAsia="仿宋"/>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36" w:type="dxa"/>
            <w:vAlign w:val="center"/>
          </w:tcPr>
          <w:p>
            <w:pPr>
              <w:jc w:val="center"/>
              <w:rPr>
                <w:rFonts w:ascii="仿宋" w:hAnsi="仿宋" w:eastAsia="仿宋"/>
                <w:sz w:val="24"/>
                <w:szCs w:val="24"/>
              </w:rPr>
            </w:pPr>
            <w:r>
              <w:rPr>
                <w:rFonts w:hint="eastAsia" w:ascii="仿宋" w:hAnsi="仿宋" w:eastAsia="仿宋"/>
                <w:sz w:val="24"/>
                <w:szCs w:val="24"/>
              </w:rPr>
              <w:t>五四精神、毕业季、迎新季、奖学金颁奖四大主题教育</w:t>
            </w:r>
          </w:p>
        </w:tc>
        <w:tc>
          <w:tcPr>
            <w:tcW w:w="1909" w:type="dxa"/>
            <w:vAlign w:val="center"/>
          </w:tcPr>
          <w:p>
            <w:pPr>
              <w:rPr>
                <w:rFonts w:ascii="仿宋" w:hAnsi="仿宋" w:eastAsia="仿宋"/>
                <w:sz w:val="24"/>
                <w:szCs w:val="24"/>
              </w:rPr>
            </w:pPr>
            <w:r>
              <w:rPr>
                <w:rFonts w:hint="eastAsia" w:ascii="仿宋" w:hAnsi="仿宋" w:eastAsia="仿宋"/>
                <w:sz w:val="24"/>
                <w:szCs w:val="24"/>
              </w:rPr>
              <w:t>每年各一次</w:t>
            </w:r>
          </w:p>
        </w:tc>
        <w:tc>
          <w:tcPr>
            <w:tcW w:w="2165" w:type="dxa"/>
            <w:vAlign w:val="center"/>
          </w:tcPr>
          <w:p>
            <w:pPr>
              <w:rPr>
                <w:rFonts w:ascii="仿宋" w:hAnsi="仿宋" w:eastAsia="仿宋"/>
                <w:sz w:val="24"/>
                <w:szCs w:val="24"/>
              </w:rPr>
            </w:pPr>
            <w:r>
              <w:rPr>
                <w:rFonts w:ascii="仿宋" w:hAnsi="仿宋" w:eastAsia="仿宋"/>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036" w:type="dxa"/>
            <w:vAlign w:val="center"/>
          </w:tcPr>
          <w:p>
            <w:pPr>
              <w:jc w:val="center"/>
              <w:rPr>
                <w:rFonts w:ascii="仿宋" w:hAnsi="仿宋" w:eastAsia="仿宋"/>
                <w:sz w:val="24"/>
                <w:szCs w:val="24"/>
              </w:rPr>
            </w:pPr>
            <w:r>
              <w:rPr>
                <w:rFonts w:hint="eastAsia" w:ascii="仿宋" w:hAnsi="仿宋" w:eastAsia="仿宋"/>
                <w:sz w:val="24"/>
                <w:szCs w:val="24"/>
              </w:rPr>
              <w:t>海洋日、蟹文化节、食品节、海川文化节等学术文化活动</w:t>
            </w:r>
          </w:p>
        </w:tc>
        <w:tc>
          <w:tcPr>
            <w:tcW w:w="1909" w:type="dxa"/>
            <w:vAlign w:val="center"/>
          </w:tcPr>
          <w:p>
            <w:pPr>
              <w:rPr>
                <w:rFonts w:ascii="仿宋" w:hAnsi="仿宋" w:eastAsia="仿宋"/>
                <w:sz w:val="24"/>
                <w:szCs w:val="24"/>
              </w:rPr>
            </w:pPr>
            <w:r>
              <w:rPr>
                <w:rFonts w:ascii="仿宋" w:hAnsi="仿宋" w:eastAsia="仿宋"/>
                <w:sz w:val="24"/>
                <w:szCs w:val="24"/>
              </w:rPr>
              <w:t>持续推进</w:t>
            </w:r>
          </w:p>
        </w:tc>
        <w:tc>
          <w:tcPr>
            <w:tcW w:w="2165" w:type="dxa"/>
            <w:vAlign w:val="center"/>
          </w:tcPr>
          <w:p>
            <w:pPr>
              <w:rPr>
                <w:rFonts w:ascii="仿宋" w:hAnsi="仿宋" w:eastAsia="仿宋"/>
                <w:sz w:val="24"/>
                <w:szCs w:val="24"/>
              </w:rPr>
            </w:pPr>
            <w:r>
              <w:rPr>
                <w:rFonts w:hint="eastAsia" w:ascii="仿宋" w:hAnsi="仿宋" w:eastAsia="仿宋"/>
                <w:sz w:val="24"/>
                <w:szCs w:val="24"/>
              </w:rPr>
              <w:t>各承担单位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036" w:type="dxa"/>
            <w:vAlign w:val="center"/>
          </w:tcPr>
          <w:p>
            <w:pPr>
              <w:jc w:val="center"/>
              <w:rPr>
                <w:rFonts w:ascii="仿宋" w:hAnsi="仿宋" w:eastAsia="仿宋"/>
                <w:sz w:val="24"/>
                <w:szCs w:val="24"/>
              </w:rPr>
            </w:pPr>
            <w:r>
              <w:rPr>
                <w:rFonts w:hint="eastAsia" w:ascii="仿宋" w:hAnsi="仿宋" w:eastAsia="仿宋"/>
                <w:sz w:val="24"/>
                <w:szCs w:val="24"/>
              </w:rPr>
              <w:t>中国渔政206开展“渔权即海权”海洋权益教育活动</w:t>
            </w:r>
          </w:p>
        </w:tc>
        <w:tc>
          <w:tcPr>
            <w:tcW w:w="1909" w:type="dxa"/>
            <w:vAlign w:val="center"/>
          </w:tcPr>
          <w:p>
            <w:pPr>
              <w:rPr>
                <w:rFonts w:ascii="仿宋" w:hAnsi="仿宋" w:eastAsia="仿宋"/>
                <w:sz w:val="24"/>
                <w:szCs w:val="24"/>
              </w:rPr>
            </w:pPr>
            <w:r>
              <w:rPr>
                <w:rFonts w:ascii="仿宋" w:hAnsi="仿宋" w:eastAsia="仿宋"/>
                <w:sz w:val="24"/>
                <w:szCs w:val="24"/>
              </w:rPr>
              <w:t>每年至少</w:t>
            </w:r>
            <w:r>
              <w:rPr>
                <w:rFonts w:hint="eastAsia" w:ascii="仿宋" w:hAnsi="仿宋" w:eastAsia="仿宋"/>
                <w:sz w:val="24"/>
                <w:szCs w:val="24"/>
              </w:rPr>
              <w:t>1次</w:t>
            </w:r>
          </w:p>
        </w:tc>
        <w:tc>
          <w:tcPr>
            <w:tcW w:w="2165" w:type="dxa"/>
            <w:vAlign w:val="center"/>
          </w:tcPr>
          <w:p>
            <w:pPr>
              <w:rPr>
                <w:rFonts w:ascii="仿宋" w:hAnsi="仿宋" w:eastAsia="仿宋"/>
                <w:sz w:val="24"/>
                <w:szCs w:val="24"/>
              </w:rPr>
            </w:pPr>
            <w:r>
              <w:rPr>
                <w:rFonts w:hint="eastAsia" w:ascii="仿宋" w:hAnsi="仿宋" w:eastAsia="仿宋"/>
                <w:sz w:val="24"/>
                <w:szCs w:val="24"/>
              </w:rPr>
              <w:t>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036" w:type="dxa"/>
            <w:vAlign w:val="center"/>
          </w:tcPr>
          <w:p>
            <w:pPr>
              <w:jc w:val="center"/>
              <w:rPr>
                <w:rFonts w:ascii="仿宋" w:hAnsi="仿宋" w:eastAsia="仿宋"/>
                <w:sz w:val="24"/>
                <w:szCs w:val="24"/>
              </w:rPr>
            </w:pPr>
            <w:r>
              <w:rPr>
                <w:rFonts w:hint="eastAsia" w:ascii="仿宋" w:hAnsi="仿宋" w:eastAsia="仿宋"/>
                <w:sz w:val="24"/>
                <w:szCs w:val="24"/>
              </w:rPr>
              <w:t>邀请校外名师、名家定期开展海韵讲座，整合海韵导读、海韵展览、海韵书友会等系列活动平台，开展“阅读之美”主题教育推广活动海洋等特色文化主题的阅读推广活动</w:t>
            </w:r>
          </w:p>
        </w:tc>
        <w:tc>
          <w:tcPr>
            <w:tcW w:w="1909" w:type="dxa"/>
            <w:vAlign w:val="center"/>
          </w:tcPr>
          <w:p>
            <w:pPr>
              <w:rPr>
                <w:rFonts w:ascii="仿宋" w:hAnsi="仿宋" w:eastAsia="仿宋"/>
                <w:sz w:val="24"/>
                <w:szCs w:val="24"/>
              </w:rPr>
            </w:pPr>
            <w:r>
              <w:rPr>
                <w:rFonts w:ascii="仿宋" w:hAnsi="仿宋" w:eastAsia="仿宋"/>
                <w:sz w:val="24"/>
                <w:szCs w:val="24"/>
              </w:rPr>
              <w:t>每年至少</w:t>
            </w:r>
            <w:r>
              <w:rPr>
                <w:rFonts w:hint="eastAsia" w:ascii="仿宋" w:hAnsi="仿宋" w:eastAsia="仿宋"/>
                <w:sz w:val="24"/>
                <w:szCs w:val="24"/>
              </w:rPr>
              <w:t>1次</w:t>
            </w:r>
          </w:p>
        </w:tc>
        <w:tc>
          <w:tcPr>
            <w:tcW w:w="2165" w:type="dxa"/>
            <w:vAlign w:val="center"/>
          </w:tcPr>
          <w:p>
            <w:pPr>
              <w:rPr>
                <w:rFonts w:ascii="仿宋" w:hAnsi="仿宋" w:eastAsia="仿宋"/>
                <w:sz w:val="24"/>
                <w:szCs w:val="24"/>
              </w:rPr>
            </w:pPr>
            <w:r>
              <w:rPr>
                <w:rFonts w:hint="eastAsia" w:ascii="仿宋" w:hAnsi="仿宋" w:eastAsia="仿宋"/>
                <w:sz w:val="24"/>
                <w:szCs w:val="24"/>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036" w:type="dxa"/>
            <w:vAlign w:val="center"/>
          </w:tcPr>
          <w:p>
            <w:pPr>
              <w:jc w:val="center"/>
              <w:rPr>
                <w:rFonts w:ascii="仿宋" w:hAnsi="仿宋" w:eastAsia="仿宋"/>
                <w:sz w:val="24"/>
                <w:szCs w:val="24"/>
              </w:rPr>
            </w:pPr>
            <w:r>
              <w:rPr>
                <w:rFonts w:hint="eastAsia" w:ascii="仿宋" w:hAnsi="仿宋" w:eastAsia="仿宋"/>
                <w:sz w:val="24"/>
                <w:szCs w:val="24"/>
              </w:rPr>
              <w:t>开好人好事、特色项目、文明窗口和示范岗的评选表彰工作</w:t>
            </w:r>
          </w:p>
        </w:tc>
        <w:tc>
          <w:tcPr>
            <w:tcW w:w="1909" w:type="dxa"/>
            <w:vAlign w:val="center"/>
          </w:tcPr>
          <w:p>
            <w:pPr>
              <w:rPr>
                <w:rFonts w:ascii="仿宋" w:hAnsi="仿宋" w:eastAsia="仿宋"/>
                <w:sz w:val="24"/>
                <w:szCs w:val="24"/>
              </w:rPr>
            </w:pPr>
            <w:r>
              <w:rPr>
                <w:rFonts w:ascii="仿宋" w:hAnsi="仿宋" w:eastAsia="仿宋"/>
                <w:sz w:val="24"/>
                <w:szCs w:val="24"/>
              </w:rPr>
              <w:t>每年至少</w:t>
            </w:r>
            <w:r>
              <w:rPr>
                <w:rFonts w:hint="eastAsia" w:ascii="仿宋" w:hAnsi="仿宋" w:eastAsia="仿宋"/>
                <w:sz w:val="24"/>
                <w:szCs w:val="24"/>
              </w:rPr>
              <w:t>1次</w:t>
            </w:r>
          </w:p>
        </w:tc>
        <w:tc>
          <w:tcPr>
            <w:tcW w:w="2165" w:type="dxa"/>
            <w:vAlign w:val="center"/>
          </w:tcPr>
          <w:p>
            <w:pPr>
              <w:rPr>
                <w:rFonts w:ascii="仿宋" w:hAnsi="仿宋" w:eastAsia="仿宋"/>
                <w:sz w:val="24"/>
                <w:szCs w:val="24"/>
              </w:rPr>
            </w:pPr>
            <w:r>
              <w:rPr>
                <w:rFonts w:hint="eastAsia" w:ascii="仿宋" w:hAnsi="仿宋" w:eastAsia="仿宋"/>
                <w:sz w:val="24"/>
                <w:szCs w:val="24"/>
              </w:rPr>
              <w:t>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036" w:type="dxa"/>
            <w:vAlign w:val="center"/>
          </w:tcPr>
          <w:p>
            <w:pPr>
              <w:jc w:val="center"/>
              <w:rPr>
                <w:rFonts w:ascii="仿宋" w:hAnsi="仿宋" w:eastAsia="仿宋"/>
                <w:sz w:val="24"/>
                <w:szCs w:val="24"/>
              </w:rPr>
            </w:pPr>
            <w:r>
              <w:rPr>
                <w:rFonts w:hint="eastAsia" w:ascii="仿宋" w:hAnsi="仿宋" w:eastAsia="仿宋"/>
                <w:sz w:val="24"/>
                <w:szCs w:val="24"/>
              </w:rPr>
              <w:t>控烟宣传、文明寝室创建</w:t>
            </w:r>
          </w:p>
        </w:tc>
        <w:tc>
          <w:tcPr>
            <w:tcW w:w="1909" w:type="dxa"/>
            <w:vAlign w:val="center"/>
          </w:tcPr>
          <w:p>
            <w:pPr>
              <w:rPr>
                <w:rFonts w:ascii="仿宋" w:hAnsi="仿宋" w:eastAsia="仿宋"/>
                <w:sz w:val="24"/>
                <w:szCs w:val="24"/>
              </w:rPr>
            </w:pPr>
            <w:r>
              <w:rPr>
                <w:rFonts w:ascii="仿宋" w:hAnsi="仿宋" w:eastAsia="仿宋"/>
                <w:sz w:val="24"/>
                <w:szCs w:val="24"/>
              </w:rPr>
              <w:t>每年至少</w:t>
            </w:r>
            <w:r>
              <w:rPr>
                <w:rFonts w:hint="eastAsia" w:ascii="仿宋" w:hAnsi="仿宋" w:eastAsia="仿宋"/>
                <w:sz w:val="24"/>
                <w:szCs w:val="24"/>
              </w:rPr>
              <w:t>1次</w:t>
            </w:r>
          </w:p>
        </w:tc>
        <w:tc>
          <w:tcPr>
            <w:tcW w:w="2165" w:type="dxa"/>
            <w:vAlign w:val="center"/>
          </w:tcPr>
          <w:p>
            <w:pPr>
              <w:rPr>
                <w:rFonts w:ascii="仿宋" w:hAnsi="仿宋" w:eastAsia="仿宋"/>
                <w:sz w:val="24"/>
                <w:szCs w:val="24"/>
              </w:rPr>
            </w:pPr>
            <w:r>
              <w:rPr>
                <w:rFonts w:hint="eastAsia" w:ascii="仿宋" w:hAnsi="仿宋" w:eastAsia="仿宋"/>
                <w:sz w:val="24"/>
                <w:szCs w:val="24"/>
              </w:rPr>
              <w:t>后勤与基建管理处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036" w:type="dxa"/>
            <w:vAlign w:val="center"/>
          </w:tcPr>
          <w:p>
            <w:pPr>
              <w:jc w:val="center"/>
              <w:rPr>
                <w:rFonts w:ascii="仿宋" w:hAnsi="仿宋" w:eastAsia="仿宋"/>
                <w:sz w:val="24"/>
                <w:szCs w:val="24"/>
              </w:rPr>
            </w:pPr>
            <w:r>
              <w:rPr>
                <w:rFonts w:hint="eastAsia" w:ascii="仿宋" w:hAnsi="仿宋" w:eastAsia="仿宋"/>
                <w:sz w:val="24"/>
                <w:szCs w:val="24"/>
              </w:rPr>
              <w:t>持续开展“三尺讲台，感谢有你”“树人芬芳”“行走的课堂”“文明之花在校园”“身边的模范”“奋斗的青春最美丽”等系列宣传报道</w:t>
            </w:r>
          </w:p>
        </w:tc>
        <w:tc>
          <w:tcPr>
            <w:tcW w:w="1909" w:type="dxa"/>
            <w:vAlign w:val="center"/>
          </w:tcPr>
          <w:p>
            <w:pPr>
              <w:rPr>
                <w:rFonts w:ascii="仿宋" w:hAnsi="仿宋" w:eastAsia="仿宋"/>
                <w:sz w:val="24"/>
                <w:szCs w:val="24"/>
              </w:rPr>
            </w:pPr>
            <w:r>
              <w:rPr>
                <w:rFonts w:hint="eastAsia" w:ascii="仿宋" w:hAnsi="仿宋" w:eastAsia="仿宋"/>
                <w:sz w:val="24"/>
                <w:szCs w:val="24"/>
              </w:rPr>
              <w:t>持续推进</w:t>
            </w:r>
          </w:p>
        </w:tc>
        <w:tc>
          <w:tcPr>
            <w:tcW w:w="2165" w:type="dxa"/>
            <w:vAlign w:val="center"/>
          </w:tcPr>
          <w:p>
            <w:pPr>
              <w:rPr>
                <w:rFonts w:ascii="仿宋" w:hAnsi="仿宋" w:eastAsia="仿宋"/>
                <w:sz w:val="24"/>
                <w:szCs w:val="24"/>
              </w:rPr>
            </w:pPr>
            <w:r>
              <w:rPr>
                <w:rFonts w:hint="eastAsia" w:ascii="仿宋" w:hAnsi="仿宋" w:eastAsia="仿宋"/>
                <w:sz w:val="24"/>
                <w:szCs w:val="24"/>
              </w:rPr>
              <w:t>宣传部</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6B48"/>
    <w:multiLevelType w:val="singleLevel"/>
    <w:tmpl w:val="90A26B48"/>
    <w:lvl w:ilvl="0" w:tentative="0">
      <w:start w:val="1"/>
      <w:numFmt w:val="decimal"/>
      <w:suff w:val="nothing"/>
      <w:lvlText w:val="%1．"/>
      <w:lvlJc w:val="left"/>
      <w:pPr>
        <w:ind w:left="0" w:firstLine="400"/>
      </w:pPr>
      <w:rPr>
        <w:rFonts w:hint="default"/>
      </w:rPr>
    </w:lvl>
  </w:abstractNum>
  <w:abstractNum w:abstractNumId="1">
    <w:nsid w:val="59C92B86"/>
    <w:multiLevelType w:val="multilevel"/>
    <w:tmpl w:val="59C92B86"/>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377C1"/>
    <w:rsid w:val="005B735F"/>
    <w:rsid w:val="008D48B6"/>
    <w:rsid w:val="00EC05D6"/>
    <w:rsid w:val="109C5DF9"/>
    <w:rsid w:val="19642A6B"/>
    <w:rsid w:val="1CA462A4"/>
    <w:rsid w:val="21C427BA"/>
    <w:rsid w:val="28C377C1"/>
    <w:rsid w:val="33151F22"/>
    <w:rsid w:val="551D7568"/>
    <w:rsid w:val="6D253FAC"/>
    <w:rsid w:val="6FF94EA6"/>
    <w:rsid w:val="7A2D2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snapToGrid w:val="0"/>
      <w:jc w:val="left"/>
    </w:pPr>
    <w:rPr>
      <w:sz w:val="18"/>
      <w:szCs w:val="18"/>
    </w:rPr>
  </w:style>
  <w:style w:type="paragraph" w:styleId="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line="15" w:lineRule="atLeast"/>
      <w:jc w:val="left"/>
    </w:pPr>
    <w:rPr>
      <w:rFonts w:ascii="微软雅黑" w:hAnsi="微软雅黑" w:eastAsia="微软雅黑" w:cs="Times New Roman"/>
      <w:color w:val="333333"/>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paragraph" w:styleId="10">
    <w:name w:val="List Paragraph"/>
    <w:basedOn w:val="1"/>
    <w:qFormat/>
    <w:uiPriority w:val="34"/>
    <w:pPr>
      <w:ind w:firstLine="420" w:firstLineChars="200"/>
    </w:pPr>
  </w:style>
  <w:style w:type="character" w:customStyle="1" w:styleId="11">
    <w:name w:val="news_meta"/>
    <w:basedOn w:val="7"/>
    <w:qFormat/>
    <w:uiPriority w:val="0"/>
  </w:style>
  <w:style w:type="character" w:customStyle="1" w:styleId="12">
    <w:name w:val="item-name"/>
    <w:basedOn w:val="7"/>
    <w:qFormat/>
    <w:uiPriority w:val="0"/>
  </w:style>
  <w:style w:type="character" w:customStyle="1" w:styleId="13">
    <w:name w:val="item-name1"/>
    <w:basedOn w:val="7"/>
    <w:qFormat/>
    <w:uiPriority w:val="0"/>
  </w:style>
  <w:style w:type="character" w:customStyle="1" w:styleId="14">
    <w:name w:val="item-name2"/>
    <w:basedOn w:val="7"/>
    <w:qFormat/>
    <w:uiPriority w:val="0"/>
  </w:style>
  <w:style w:type="character" w:customStyle="1" w:styleId="15">
    <w:name w:val="item-name3"/>
    <w:basedOn w:val="7"/>
    <w:qFormat/>
    <w:uiPriority w:val="0"/>
  </w:style>
  <w:style w:type="character" w:customStyle="1" w:styleId="16">
    <w:name w:val="item-name4"/>
    <w:basedOn w:val="7"/>
    <w:qFormat/>
    <w:uiPriority w:val="0"/>
  </w:style>
  <w:style w:type="character" w:customStyle="1" w:styleId="17">
    <w:name w:val="news_title"/>
    <w:basedOn w:val="7"/>
    <w:qFormat/>
    <w:uiPriority w:val="0"/>
  </w:style>
  <w:style w:type="character" w:customStyle="1" w:styleId="18">
    <w:name w:val="column-name"/>
    <w:basedOn w:val="7"/>
    <w:qFormat/>
    <w:uiPriority w:val="0"/>
    <w:rPr>
      <w:color w:val="FFFFFF"/>
    </w:rPr>
  </w:style>
  <w:style w:type="character" w:customStyle="1" w:styleId="19">
    <w:name w:val="column-name1"/>
    <w:basedOn w:val="7"/>
    <w:qFormat/>
    <w:uiPriority w:val="0"/>
    <w:rPr>
      <w:color w:val="296607"/>
    </w:rPr>
  </w:style>
  <w:style w:type="character" w:customStyle="1" w:styleId="20">
    <w:name w:val="column-name2"/>
    <w:basedOn w:val="7"/>
    <w:qFormat/>
    <w:uiPriority w:val="0"/>
    <w:rPr>
      <w:color w:val="124D83"/>
    </w:rPr>
  </w:style>
  <w:style w:type="character" w:customStyle="1" w:styleId="21">
    <w:name w:val="column-name3"/>
    <w:basedOn w:val="7"/>
    <w:qFormat/>
    <w:uiPriority w:val="0"/>
    <w:rPr>
      <w:color w:val="124D83"/>
    </w:rPr>
  </w:style>
  <w:style w:type="character" w:customStyle="1" w:styleId="22">
    <w:name w:val="column-name4"/>
    <w:basedOn w:val="7"/>
    <w:qFormat/>
    <w:uiPriority w:val="0"/>
    <w:rPr>
      <w:color w:val="124D83"/>
    </w:rPr>
  </w:style>
  <w:style w:type="character" w:customStyle="1" w:styleId="23">
    <w:name w:val="页眉 Char"/>
    <w:basedOn w:val="7"/>
    <w:link w:val="3"/>
    <w:qFormat/>
    <w:uiPriority w:val="0"/>
    <w:rPr>
      <w:rFonts w:asciiTheme="minorHAnsi" w:hAnsiTheme="minorHAnsi" w:eastAsiaTheme="minorEastAsia" w:cstheme="minorBidi"/>
      <w:kern w:val="2"/>
      <w:sz w:val="18"/>
      <w:szCs w:val="18"/>
    </w:rPr>
  </w:style>
  <w:style w:type="character" w:customStyle="1" w:styleId="24">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319</Words>
  <Characters>1822</Characters>
  <Lines>15</Lines>
  <Paragraphs>4</Paragraphs>
  <TotalTime>2</TotalTime>
  <ScaleCrop>false</ScaleCrop>
  <LinksUpToDate>false</LinksUpToDate>
  <CharactersWithSpaces>2137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2019-12-03T14:08:00Z</dcterms:created>
  <dc:creator>思炼易人</dc:creator>
  <cp:lastModifiedBy>思炼易人</cp:lastModifiedBy>
  <dcterms:modified xsi:type="dcterms:W3CDTF">2021-12-27T06:32:12Z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F5EED293ED4C4A1F81B0489C77495D1C</vt:lpwstr>
  </property>
</Properties>
</file>